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FCB103">
      <w:pPr>
        <w:keepNext w:val="0"/>
        <w:keepLines w:val="0"/>
        <w:widowControl/>
        <w:suppressLineNumbers w:val="0"/>
        <w:spacing w:line="360" w:lineRule="auto"/>
        <w:jc w:val="center"/>
        <w:rPr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人工智能四诊仪招标技术</w:t>
      </w:r>
      <w:r>
        <w:rPr>
          <w:rFonts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参数</w:t>
      </w:r>
    </w:p>
    <w:p w14:paraId="4351FD08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、产品概述：产品应以中医诊断学为理论依据，通过采集人体舌、面图像、脉象以及中医问诊、体质辨识进行自动分析，生成直观视图与中医健康数据报告，为中医诊断提供可靠的辩证参考依据，提高诊疗效率。该设备易于操作，支持导出报告档案，可适用于多种复杂环境，为用户提供高效的中医诊疗检测服务。</w:t>
      </w:r>
    </w:p>
    <w:p w14:paraId="07DD2D74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2、硬件配置：舌面脉信息采集系统由舌面采集模块、脉象采集控制模块、以及舌面脉信息采集软件组成。</w:t>
      </w:r>
    </w:p>
    <w:p w14:paraId="2FAF2A70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3、舌面采集模块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可通过每次使用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前后紫外线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对清洁消毒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避免由患者唾液滴落可能引起的交叉感染。</w:t>
      </w:r>
    </w:p>
    <w:p w14:paraId="99782F20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4、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照度：照度标称值光源照度6900lx，允差±10%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ab/>
      </w:r>
    </w:p>
    <w:p w14:paraId="39E6B6DD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5、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相关色温：相关色温应在4500K~7000K范围内。</w:t>
      </w:r>
    </w:p>
    <w:p w14:paraId="E795EAC5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6、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显色指数：显色指数应大于85。</w:t>
      </w:r>
    </w:p>
    <w:p w14:paraId="36361E48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7、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辐射照度：设备在 300nm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2500nm光谱范围内的最大照度时的辐射照度应不超过350 W/m²。</w:t>
      </w:r>
    </w:p>
    <w:p w14:paraId="F8F95E18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8、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紫外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消毒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：设备在200nm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-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400 mm光谱范围内的最大照度时的有效紫外辐射照度应不超过 0.0080W/m²。</w:t>
      </w:r>
    </w:p>
    <w:p w14:paraId="3ED130EB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9、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分辨率：不小于51p/mm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。</w:t>
      </w:r>
    </w:p>
    <w:p w14:paraId="736EC3E2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10、成像能对色彩准确还原，使标准色卡上色彩得到重现，各色在CIE LAB色空间的色差（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object>
          <v:shape id="_x0000_i1025" o:spt="75" type="#_x0000_t75" style="height:18.65pt;width:31.3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4">
            <o:LockedField>false</o:LockedField>
          </o:OLEObject>
        </w:objec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 xml:space="preserve"> ）≤20，相对畸变不超过±5%。</w:t>
      </w:r>
    </w:p>
    <w:p w14:paraId="44830BC5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11、</w:t>
      </w:r>
      <w:r>
        <w:rPr>
          <w:rFonts w:hint="eastAsia" w:ascii="宋体" w:hAnsi="宋体" w:eastAsia="宋体" w:cs="宋体"/>
          <w:sz w:val="24"/>
          <w:szCs w:val="24"/>
        </w:rPr>
        <w:t>软件支持舌象检测结果输出，舌面模块输出结果如下苔色—(苔白、苔黄、灰黑)，舌色—(舌淡白、舌淡红、舌红、舌绛红、舌淡暗)，面色—(正常、红、白、黑、黄、青)，唇色—(淡白、淡红、红、暗红、紫)。</w:t>
      </w:r>
    </w:p>
    <w:p w14:paraId="413DD7BA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12、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脉象诊断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模块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在寸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关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尺三个部位检测脉象信号，模仿中医医师把脉的方式，采集三个不同压力段的脉象波形，通过脉象检测模型进行矫正识别，对脉图的各项参数自动分析，可得出沉浮虚实迟数等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多种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脉象 。</w:t>
      </w:r>
    </w:p>
    <w:p w14:paraId="1FD574AC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14、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外加力学的准确性：设备的外加力学显示范围0-250g,显示值的最大允许误差为±15%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。</w:t>
      </w:r>
    </w:p>
    <w:p w14:paraId="637E620B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15、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脉压准确性：脉压采集范围0-250g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显示值的最大允许误差为±10%。</w:t>
      </w:r>
    </w:p>
    <w:p w14:paraId="84AF34C0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16、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/>
        </w:rPr>
        <w:t>脉率准确性：脉率显示范围应至少从40次/min~200次/min ，分辨率为1次/min，显示值的最大允许误差为±3次/ min 。</w:t>
      </w:r>
    </w:p>
    <w:p w14:paraId="0F067A5E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17、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切脉检测可设置浮、中、沉三种取脉压力，自动加压取脉并描绘实时脉图。</w:t>
      </w:r>
    </w:p>
    <w:p w14:paraId="1A457AE4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18、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可分别选取左、右手，寸、关、尺6组脉图，每组脉图可存储浮、中、沉三条脉图数据。智能辅助选取稳定脉型波形，分析出最佳脉图。</w:t>
      </w:r>
    </w:p>
    <w:p w14:paraId="1134FFCE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19、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每组脉象根据三条脉图数据自动提取脉象数据特征参数，自动给出该种脉象的中医诊断意义。</w:t>
      </w:r>
    </w:p>
    <w:p w14:paraId="547EDC7E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20、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可智能提取并分析脉图的脉力、脉位、脉型、脉率、脉节律、流利度等不少于6个要素的变化和相兼等特征信息，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智能系统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自动判断脉图</w:t>
      </w: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并给出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结果。</w:t>
      </w:r>
    </w:p>
    <w:p w14:paraId="218293F8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21、</w:t>
      </w:r>
      <w:r>
        <w:rPr>
          <w:rFonts w:hint="eastAsia" w:asciiTheme="majorEastAsia" w:hAnsiTheme="majorEastAsia" w:eastAsiaTheme="majorEastAsia" w:cstheme="majorEastAsia"/>
          <w:sz w:val="24"/>
          <w:szCs w:val="24"/>
        </w:rPr>
        <w:t>具有数据管理功能：可按起止时间导出病人信息、望诊数据、脉诊数据等内容。</w:t>
      </w:r>
    </w:p>
    <w:p w14:paraId="0AE8FAA3">
      <w:pPr>
        <w:numPr>
          <w:numId w:val="0"/>
        </w:numPr>
        <w:spacing w:line="360" w:lineRule="auto"/>
        <w:rPr>
          <w:rFonts w:hint="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  <w:lang w:val="en-US" w:eastAsia="zh-CN"/>
        </w:rPr>
        <w:t>22、</w:t>
      </w:r>
      <w:r>
        <w:rPr>
          <w:rFonts w:hint="eastAsia"/>
          <w:sz w:val="24"/>
          <w:szCs w:val="24"/>
          <w:lang w:val="en-US" w:eastAsia="zh-CN"/>
        </w:rPr>
        <w:t>保修期：整机质保≥5年，易损耗材除外。</w:t>
      </w:r>
      <w:bookmarkStart w:id="0" w:name="_GoBack"/>
      <w:bookmarkEnd w:id="0"/>
    </w:p>
    <w:p w14:paraId="300C24D1">
      <w:pPr>
        <w:spacing w:line="360" w:lineRule="auto"/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</w:p>
    <w:p w14:paraId="4CD05FF1">
      <w:pPr>
        <w:widowControl/>
        <w:numPr>
          <w:ilvl w:val="0"/>
          <w:numId w:val="0"/>
        </w:numPr>
        <w:shd w:val="clear" w:color="auto" w:fill="FFFFFF"/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56174F2F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Theme="majorEastAsia" w:hAnsiTheme="majorEastAsia" w:eastAsiaTheme="majorEastAsia" w:cstheme="majorEastAsia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</w:p>
    <w:p w14:paraId="329B2B93">
      <w:pPr>
        <w:spacing w:line="360" w:lineRule="auto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A73983"/>
    <w:rsid w:val="1489013D"/>
    <w:rsid w:val="358C0001"/>
    <w:rsid w:val="3C0E61D6"/>
    <w:rsid w:val="3C8269DE"/>
    <w:rsid w:val="425A3F23"/>
    <w:rsid w:val="460100E0"/>
    <w:rsid w:val="4E69663A"/>
    <w:rsid w:val="51440262"/>
    <w:rsid w:val="58A76294"/>
    <w:rsid w:val="5C050B30"/>
    <w:rsid w:val="5FF7504F"/>
    <w:rsid w:val="6894089B"/>
    <w:rsid w:val="6F1C23DC"/>
    <w:rsid w:val="75171CDE"/>
    <w:rsid w:val="7704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1768</Words>
  <Characters>1903</Characters>
  <Lines>0</Lines>
  <Paragraphs>0</Paragraphs>
  <TotalTime>0</TotalTime>
  <ScaleCrop>false</ScaleCrop>
  <LinksUpToDate>false</LinksUpToDate>
  <CharactersWithSpaces>1914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2025-12-04T07:09:00Z</dcterms:created>
  <dc:creator>YZY</dc:creator>
  <cp:lastModifiedBy>WPS_1730333814</cp:lastModifiedBy>
  <dcterms:modified xsi:type="dcterms:W3CDTF">2026-05-07T07:57:56Z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eyJoZGlkIjoiYjAwYzZhYzc3YTFlMmVlYmY4MTVhN2M1ZDIzZTYwZWMiLCJ1c2VySWQiOiIxNjQ5NTE2NDUzIn0=</vt:lpwstr>
  </property>
  <property fmtid="{D5CDD505-2E9C-101B-9397-08002B2CF9AE}" pid="4" name="ICV">
    <vt:lpwstr>563A60E13B5A412EA2A066934267B308_13</vt:lpwstr>
  </property>
</Properties>
</file>